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2E41" w14:textId="335A842D" w:rsidR="001A455F" w:rsidRPr="00C5109F" w:rsidRDefault="00FE03BF">
      <w:pPr>
        <w:rPr>
          <w:color w:val="00B0F0"/>
          <w:sz w:val="32"/>
          <w:szCs w:val="32"/>
        </w:rPr>
      </w:pPr>
      <w:r w:rsidRPr="00C5109F">
        <w:rPr>
          <w:color w:val="00B0F0"/>
          <w:sz w:val="32"/>
          <w:szCs w:val="32"/>
        </w:rPr>
        <w:t>CSDCU Variable Rate Policy Statement</w:t>
      </w:r>
      <w:r w:rsidR="00DB7F77" w:rsidRPr="00C5109F">
        <w:rPr>
          <w:color w:val="00B0F0"/>
          <w:sz w:val="32"/>
          <w:szCs w:val="32"/>
        </w:rPr>
        <w:t xml:space="preserve"> For Mortgage Loans</w:t>
      </w:r>
    </w:p>
    <w:p w14:paraId="0FC76CCE" w14:textId="77777777" w:rsidR="00CB4FA7" w:rsidRDefault="00CB4FA7" w:rsidP="00CB4FA7">
      <w:pPr>
        <w:pStyle w:val="Default"/>
      </w:pPr>
    </w:p>
    <w:p w14:paraId="59A361C7" w14:textId="3AB26944" w:rsidR="001A455F" w:rsidRPr="004D2534" w:rsidRDefault="00CB4FA7" w:rsidP="00CB4FA7">
      <w:pPr>
        <w:pBdr>
          <w:top w:val="single" w:sz="4" w:space="1" w:color="auto"/>
          <w:left w:val="single" w:sz="4" w:space="4" w:color="auto"/>
          <w:bottom w:val="single" w:sz="4" w:space="1" w:color="auto"/>
          <w:right w:val="single" w:sz="4" w:space="4" w:color="auto"/>
        </w:pBdr>
        <w:rPr>
          <w:b/>
          <w:bCs/>
        </w:rPr>
      </w:pPr>
      <w:r w:rsidRPr="004D2534">
        <w:rPr>
          <w:b/>
          <w:bCs/>
        </w:rPr>
        <w:t>Warning: We may change the interest rate on this loan. This means the cost of your monthly repayments may increase or decrease.</w:t>
      </w:r>
    </w:p>
    <w:p w14:paraId="57786029" w14:textId="77777777" w:rsidR="00DD797A" w:rsidRDefault="00DD797A" w:rsidP="00DD797A">
      <w:pPr>
        <w:autoSpaceDE w:val="0"/>
        <w:autoSpaceDN w:val="0"/>
        <w:adjustRightInd w:val="0"/>
        <w:spacing w:before="160" w:line="201" w:lineRule="atLeast"/>
      </w:pPr>
    </w:p>
    <w:p w14:paraId="4620152E" w14:textId="5AD5CF23" w:rsidR="00DD797A" w:rsidRPr="00DD797A" w:rsidRDefault="00DD797A" w:rsidP="00DD797A">
      <w:pPr>
        <w:autoSpaceDE w:val="0"/>
        <w:autoSpaceDN w:val="0"/>
        <w:adjustRightInd w:val="0"/>
        <w:spacing w:before="160" w:line="201" w:lineRule="atLeast"/>
        <w:rPr>
          <w:rFonts w:ascii="AIB Case SemiLight" w:hAnsi="AIB Case SemiLight" w:cs="AIB Case SemiLight"/>
          <w:color w:val="000000"/>
          <w:kern w:val="0"/>
        </w:rPr>
      </w:pPr>
      <w:r w:rsidRPr="00DD797A">
        <w:rPr>
          <w:rFonts w:ascii="AIB Case SemiLight" w:hAnsi="AIB Case SemiLight" w:cs="AIB Case SemiLight"/>
          <w:color w:val="000000"/>
          <w:kern w:val="0"/>
        </w:rPr>
        <w:t>This statement details the factors we consider when setting our variable interest rates for mortgage loans.</w:t>
      </w:r>
    </w:p>
    <w:p w14:paraId="57D95090" w14:textId="77777777" w:rsidR="00DD797A" w:rsidRPr="00DD797A" w:rsidRDefault="00DD797A" w:rsidP="00DD797A">
      <w:pPr>
        <w:autoSpaceDE w:val="0"/>
        <w:autoSpaceDN w:val="0"/>
        <w:adjustRightInd w:val="0"/>
        <w:spacing w:after="40" w:line="241" w:lineRule="atLeast"/>
        <w:rPr>
          <w:rFonts w:ascii="AIB Case Medium" w:hAnsi="AIB Case Medium" w:cs="AIB Case Medium"/>
          <w:b/>
          <w:bCs/>
          <w:color w:val="000000"/>
          <w:kern w:val="0"/>
        </w:rPr>
      </w:pPr>
      <w:r w:rsidRPr="00DD797A">
        <w:rPr>
          <w:rFonts w:ascii="AIB Case Medium" w:hAnsi="AIB Case Medium" w:cs="AIB Case Medium"/>
          <w:b/>
          <w:bCs/>
          <w:color w:val="000000"/>
          <w:kern w:val="0"/>
        </w:rPr>
        <w:t>What do we consider when setting our variable interest rates?</w:t>
      </w:r>
    </w:p>
    <w:p w14:paraId="46F48FC2" w14:textId="4D8800AC" w:rsidR="00DD797A" w:rsidRPr="00DD797A" w:rsidRDefault="00DD797A" w:rsidP="00DD797A">
      <w:pPr>
        <w:autoSpaceDE w:val="0"/>
        <w:autoSpaceDN w:val="0"/>
        <w:adjustRightInd w:val="0"/>
        <w:spacing w:after="40" w:line="201" w:lineRule="atLeast"/>
        <w:rPr>
          <w:rFonts w:ascii="AIB Case SemiLight" w:hAnsi="AIB Case SemiLight" w:cs="AIB Case SemiLight"/>
          <w:color w:val="000000"/>
          <w:kern w:val="0"/>
        </w:rPr>
      </w:pPr>
      <w:r w:rsidRPr="00DD797A">
        <w:rPr>
          <w:rFonts w:ascii="AIB Case SemiLight" w:hAnsi="AIB Case SemiLight" w:cs="AIB Case SemiLight"/>
          <w:color w:val="000000"/>
          <w:kern w:val="0"/>
        </w:rPr>
        <w:t xml:space="preserve">There are a number of factors we consider when we set or change our variable interest rates and these currently </w:t>
      </w:r>
      <w:r w:rsidR="007821A4" w:rsidRPr="00DD797A">
        <w:rPr>
          <w:rFonts w:ascii="AIB Case SemiLight" w:hAnsi="AIB Case SemiLight" w:cs="AIB Case SemiLight"/>
          <w:color w:val="000000"/>
          <w:kern w:val="0"/>
        </w:rPr>
        <w:t>include: -</w:t>
      </w:r>
    </w:p>
    <w:p w14:paraId="2F3BF173" w14:textId="0A61A2CA" w:rsidR="00DD797A" w:rsidRPr="00E873E3" w:rsidRDefault="00DD797A" w:rsidP="00DD797A">
      <w:pPr>
        <w:numPr>
          <w:ilvl w:val="0"/>
          <w:numId w:val="1"/>
        </w:numPr>
        <w:autoSpaceDE w:val="0"/>
        <w:autoSpaceDN w:val="0"/>
        <w:adjustRightInd w:val="0"/>
        <w:spacing w:after="0" w:line="240" w:lineRule="auto"/>
        <w:rPr>
          <w:rFonts w:ascii="AIB Case SemiLight" w:hAnsi="AIB Case SemiLight" w:cs="AIB Case SemiLight"/>
          <w:color w:val="000000" w:themeColor="text1"/>
          <w:kern w:val="0"/>
        </w:rPr>
      </w:pPr>
      <w:r w:rsidRPr="00E873E3">
        <w:rPr>
          <w:rFonts w:ascii="AIB Case SemiLight" w:hAnsi="AIB Case SemiLight" w:cs="AIB Case SemiLight"/>
          <w:color w:val="000000" w:themeColor="text1"/>
          <w:kern w:val="0"/>
        </w:rPr>
        <w:t>Cost of funds; we</w:t>
      </w:r>
      <w:r w:rsidR="00E873E3" w:rsidRPr="00E873E3">
        <w:rPr>
          <w:rFonts w:ascii="AIB Case SemiLight" w:hAnsi="AIB Case SemiLight" w:cs="AIB Case SemiLight"/>
          <w:color w:val="000000" w:themeColor="text1"/>
          <w:kern w:val="0"/>
        </w:rPr>
        <w:t xml:space="preserve"> source our lending capital from member </w:t>
      </w:r>
      <w:r w:rsidR="00DB7F77">
        <w:rPr>
          <w:rFonts w:ascii="AIB Case SemiLight" w:hAnsi="AIB Case SemiLight" w:cs="AIB Case SemiLight"/>
          <w:color w:val="000000" w:themeColor="text1"/>
          <w:kern w:val="0"/>
        </w:rPr>
        <w:t>savings/</w:t>
      </w:r>
      <w:r w:rsidR="00E873E3" w:rsidRPr="00E873E3">
        <w:rPr>
          <w:rFonts w:ascii="AIB Case SemiLight" w:hAnsi="AIB Case SemiLight" w:cs="AIB Case SemiLight"/>
          <w:color w:val="000000" w:themeColor="text1"/>
          <w:kern w:val="0"/>
        </w:rPr>
        <w:t>deposits</w:t>
      </w:r>
      <w:r w:rsidRPr="00E873E3">
        <w:rPr>
          <w:rFonts w:ascii="AIB Case SemiLight" w:hAnsi="AIB Case SemiLight" w:cs="AIB Case SemiLight"/>
          <w:color w:val="000000" w:themeColor="text1"/>
          <w:kern w:val="0"/>
        </w:rPr>
        <w:t>,</w:t>
      </w:r>
      <w:r w:rsidR="00E873E3" w:rsidRPr="00E873E3">
        <w:rPr>
          <w:rFonts w:ascii="AIB Case SemiLight" w:hAnsi="AIB Case SemiLight" w:cs="AIB Case SemiLight"/>
          <w:color w:val="000000" w:themeColor="text1"/>
          <w:kern w:val="0"/>
        </w:rPr>
        <w:t xml:space="preserve"> affecting </w:t>
      </w:r>
      <w:r w:rsidR="00E873E3">
        <w:rPr>
          <w:rFonts w:ascii="AIB Case SemiLight" w:hAnsi="AIB Case SemiLight" w:cs="AIB Case SemiLight"/>
          <w:color w:val="000000" w:themeColor="text1"/>
          <w:kern w:val="0"/>
        </w:rPr>
        <w:t xml:space="preserve">the </w:t>
      </w:r>
      <w:r w:rsidR="00E873E3" w:rsidRPr="00E873E3">
        <w:rPr>
          <w:rFonts w:ascii="AIB Case SemiLight" w:hAnsi="AIB Case SemiLight" w:cs="AIB Case SemiLight"/>
          <w:color w:val="000000" w:themeColor="text1"/>
          <w:kern w:val="0"/>
        </w:rPr>
        <w:t xml:space="preserve">interest rates based on the cost of these funds. </w:t>
      </w:r>
    </w:p>
    <w:p w14:paraId="29AA98CD" w14:textId="1F30D391" w:rsidR="00DD797A" w:rsidRPr="00E873E3" w:rsidRDefault="00DD797A" w:rsidP="00DD797A">
      <w:pPr>
        <w:numPr>
          <w:ilvl w:val="0"/>
          <w:numId w:val="1"/>
        </w:numPr>
        <w:autoSpaceDE w:val="0"/>
        <w:autoSpaceDN w:val="0"/>
        <w:adjustRightInd w:val="0"/>
        <w:spacing w:after="0" w:line="240" w:lineRule="auto"/>
        <w:rPr>
          <w:rFonts w:ascii="AIB Case SemiLight" w:hAnsi="AIB Case SemiLight" w:cs="AIB Case SemiLight"/>
          <w:color w:val="000000" w:themeColor="text1"/>
          <w:kern w:val="0"/>
        </w:rPr>
      </w:pPr>
      <w:r w:rsidRPr="00E873E3">
        <w:rPr>
          <w:rFonts w:ascii="AIB Case SemiLight" w:hAnsi="AIB Case SemiLight" w:cs="AIB Case SemiLight"/>
          <w:color w:val="000000" w:themeColor="text1"/>
          <w:kern w:val="0"/>
        </w:rPr>
        <w:t xml:space="preserve">Capital </w:t>
      </w:r>
      <w:r w:rsidR="00FA6C63" w:rsidRPr="00E873E3">
        <w:rPr>
          <w:rFonts w:ascii="AIB Case SemiLight" w:hAnsi="AIB Case SemiLight" w:cs="AIB Case SemiLight"/>
          <w:color w:val="000000" w:themeColor="text1"/>
          <w:kern w:val="0"/>
        </w:rPr>
        <w:t>requirement:</w:t>
      </w:r>
      <w:r w:rsidRPr="00E873E3">
        <w:rPr>
          <w:rFonts w:ascii="AIB Case SemiLight" w:hAnsi="AIB Case SemiLight" w:cs="AIB Case SemiLight"/>
          <w:color w:val="000000" w:themeColor="text1"/>
          <w:kern w:val="0"/>
        </w:rPr>
        <w:t xml:space="preserve"> </w:t>
      </w:r>
      <w:r w:rsidR="00E873E3" w:rsidRPr="00E873E3">
        <w:rPr>
          <w:rFonts w:ascii="AIB Case SemiLight" w:hAnsi="AIB Case SemiLight" w:cs="AIB Case SemiLight"/>
          <w:color w:val="000000" w:themeColor="text1"/>
          <w:kern w:val="0"/>
        </w:rPr>
        <w:t xml:space="preserve">Regulatory standards mandate maintaining a certain capital level, which supports our lending activities and influences interest rates.  </w:t>
      </w:r>
    </w:p>
    <w:p w14:paraId="10B4CA04" w14:textId="77777777" w:rsidR="00DD797A" w:rsidRPr="00DD797A" w:rsidRDefault="00DD797A" w:rsidP="00DD797A">
      <w:pPr>
        <w:numPr>
          <w:ilvl w:val="0"/>
          <w:numId w:val="1"/>
        </w:numPr>
        <w:autoSpaceDE w:val="0"/>
        <w:autoSpaceDN w:val="0"/>
        <w:adjustRightInd w:val="0"/>
        <w:spacing w:after="0" w:line="240" w:lineRule="auto"/>
        <w:rPr>
          <w:rFonts w:ascii="AIB Case SemiLight" w:hAnsi="AIB Case SemiLight" w:cs="AIB Case SemiLight"/>
          <w:color w:val="000000"/>
          <w:kern w:val="0"/>
        </w:rPr>
      </w:pPr>
      <w:r w:rsidRPr="00DD797A">
        <w:rPr>
          <w:rFonts w:ascii="AIB Case SemiLight" w:hAnsi="AIB Case SemiLight" w:cs="AIB Case SemiLight"/>
          <w:color w:val="000000"/>
          <w:kern w:val="0"/>
        </w:rPr>
        <w:t>Loan Default risk; we estimate potential losses on our mortgage loans due to non-payment by borrowers.</w:t>
      </w:r>
    </w:p>
    <w:p w14:paraId="02B6B141" w14:textId="3D534C3B" w:rsidR="00DD797A" w:rsidRPr="00DD797A" w:rsidRDefault="00DD797A" w:rsidP="00DD797A">
      <w:pPr>
        <w:numPr>
          <w:ilvl w:val="0"/>
          <w:numId w:val="1"/>
        </w:numPr>
        <w:autoSpaceDE w:val="0"/>
        <w:autoSpaceDN w:val="0"/>
        <w:adjustRightInd w:val="0"/>
        <w:spacing w:after="0" w:line="240" w:lineRule="auto"/>
        <w:rPr>
          <w:rFonts w:ascii="AIB Case SemiLight" w:hAnsi="AIB Case SemiLight" w:cs="AIB Case SemiLight"/>
          <w:color w:val="000000"/>
          <w:kern w:val="0"/>
        </w:rPr>
      </w:pPr>
      <w:r w:rsidRPr="00DD797A">
        <w:rPr>
          <w:rFonts w:ascii="AIB Case SemiLight" w:hAnsi="AIB Case SemiLight" w:cs="AIB Case SemiLight"/>
          <w:color w:val="000000"/>
          <w:kern w:val="0"/>
        </w:rPr>
        <w:t xml:space="preserve">Mortgage Operational costs; these costs relate to the general day to day running of the </w:t>
      </w:r>
      <w:r w:rsidR="00FA6C63">
        <w:rPr>
          <w:rFonts w:ascii="AIB Case SemiLight" w:hAnsi="AIB Case SemiLight" w:cs="AIB Case SemiLight"/>
          <w:color w:val="000000"/>
          <w:kern w:val="0"/>
        </w:rPr>
        <w:t>Credit Union</w:t>
      </w:r>
      <w:r w:rsidRPr="00DD797A">
        <w:rPr>
          <w:rFonts w:ascii="AIB Case SemiLight" w:hAnsi="AIB Case SemiLight" w:cs="AIB Case SemiLight"/>
          <w:color w:val="000000"/>
          <w:kern w:val="0"/>
        </w:rPr>
        <w:t xml:space="preserve"> including staff, administration and infrastructure costs.</w:t>
      </w:r>
    </w:p>
    <w:p w14:paraId="35BACE20" w14:textId="64A620B6" w:rsidR="00DD797A" w:rsidRPr="00DD797A" w:rsidRDefault="00DD797A" w:rsidP="00DD797A">
      <w:pPr>
        <w:numPr>
          <w:ilvl w:val="0"/>
          <w:numId w:val="1"/>
        </w:numPr>
        <w:autoSpaceDE w:val="0"/>
        <w:autoSpaceDN w:val="0"/>
        <w:adjustRightInd w:val="0"/>
        <w:spacing w:after="0" w:line="240" w:lineRule="auto"/>
        <w:rPr>
          <w:rFonts w:ascii="AIB Case SemiLight" w:hAnsi="AIB Case SemiLight" w:cs="AIB Case SemiLight"/>
          <w:color w:val="000000"/>
          <w:kern w:val="0"/>
        </w:rPr>
      </w:pPr>
      <w:r w:rsidRPr="00DD797A">
        <w:rPr>
          <w:rFonts w:ascii="AIB Case SemiLight" w:hAnsi="AIB Case SemiLight" w:cs="AIB Case SemiLight"/>
          <w:color w:val="000000"/>
          <w:kern w:val="0"/>
        </w:rPr>
        <w:t xml:space="preserve">Expected returns; this is the expected revenue and income generated in line with the </w:t>
      </w:r>
      <w:r w:rsidR="00363A48">
        <w:rPr>
          <w:rFonts w:ascii="AIB Case SemiLight" w:hAnsi="AIB Case SemiLight" w:cs="AIB Case SemiLight"/>
          <w:color w:val="000000"/>
          <w:kern w:val="0"/>
        </w:rPr>
        <w:t>Credit Unions</w:t>
      </w:r>
      <w:r w:rsidRPr="00DD797A">
        <w:rPr>
          <w:rFonts w:ascii="AIB Case SemiLight" w:hAnsi="AIB Case SemiLight" w:cs="AIB Case SemiLight"/>
          <w:color w:val="000000"/>
          <w:kern w:val="0"/>
        </w:rPr>
        <w:t xml:space="preserve"> financial plan.</w:t>
      </w:r>
    </w:p>
    <w:p w14:paraId="5A826E5A" w14:textId="7CB825C8" w:rsidR="00DD797A" w:rsidRPr="00DD797A" w:rsidRDefault="00DD797A" w:rsidP="00DD797A">
      <w:pPr>
        <w:numPr>
          <w:ilvl w:val="0"/>
          <w:numId w:val="1"/>
        </w:numPr>
        <w:autoSpaceDE w:val="0"/>
        <w:autoSpaceDN w:val="0"/>
        <w:adjustRightInd w:val="0"/>
        <w:spacing w:after="0" w:line="240" w:lineRule="auto"/>
        <w:rPr>
          <w:rFonts w:ascii="AIB Case SemiLight" w:hAnsi="AIB Case SemiLight" w:cs="AIB Case SemiLight"/>
          <w:color w:val="000000"/>
          <w:kern w:val="0"/>
        </w:rPr>
      </w:pPr>
      <w:r w:rsidRPr="00DD797A">
        <w:rPr>
          <w:rFonts w:ascii="AIB Case SemiLight" w:hAnsi="AIB Case SemiLight" w:cs="AIB Case SemiLight"/>
          <w:color w:val="000000"/>
          <w:kern w:val="0"/>
        </w:rPr>
        <w:t xml:space="preserve">Market </w:t>
      </w:r>
      <w:r w:rsidR="00363A48" w:rsidRPr="00DD797A">
        <w:rPr>
          <w:rFonts w:ascii="AIB Case SemiLight" w:hAnsi="AIB Case SemiLight" w:cs="AIB Case SemiLight"/>
          <w:color w:val="000000"/>
          <w:kern w:val="0"/>
        </w:rPr>
        <w:t>competition:</w:t>
      </w:r>
      <w:r w:rsidRPr="00DD797A">
        <w:rPr>
          <w:rFonts w:ascii="AIB Case SemiLight" w:hAnsi="AIB Case SemiLight" w:cs="AIB Case SemiLight"/>
          <w:color w:val="000000"/>
          <w:kern w:val="0"/>
        </w:rPr>
        <w:t xml:space="preserve"> this relates to external factors such as activity in the market as a result of new entrants, competitor movements and changing customer preferences.</w:t>
      </w:r>
    </w:p>
    <w:p w14:paraId="58D06389" w14:textId="77777777" w:rsidR="00DD797A" w:rsidRPr="00DD797A" w:rsidRDefault="00DD797A" w:rsidP="00DD797A">
      <w:pPr>
        <w:autoSpaceDE w:val="0"/>
        <w:autoSpaceDN w:val="0"/>
        <w:adjustRightInd w:val="0"/>
        <w:spacing w:after="0" w:line="240" w:lineRule="auto"/>
        <w:rPr>
          <w:rFonts w:ascii="AIB Case SemiLight" w:hAnsi="AIB Case SemiLight" w:cs="AIB Case SemiLight"/>
          <w:color w:val="000000"/>
          <w:kern w:val="0"/>
        </w:rPr>
      </w:pPr>
    </w:p>
    <w:p w14:paraId="4D876DBD" w14:textId="77777777" w:rsidR="00DD797A" w:rsidRDefault="00DD797A" w:rsidP="00DD797A">
      <w:pPr>
        <w:autoSpaceDE w:val="0"/>
        <w:autoSpaceDN w:val="0"/>
        <w:adjustRightInd w:val="0"/>
        <w:spacing w:after="40" w:line="201" w:lineRule="atLeast"/>
        <w:rPr>
          <w:rFonts w:ascii="AIB Case SemiLight" w:hAnsi="AIB Case SemiLight" w:cs="AIB Case SemiLight"/>
          <w:color w:val="000000"/>
          <w:kern w:val="0"/>
        </w:rPr>
      </w:pPr>
      <w:r w:rsidRPr="00DD797A">
        <w:rPr>
          <w:rFonts w:ascii="AIB Case SemiLight" w:hAnsi="AIB Case SemiLight" w:cs="AIB Case SemiLight"/>
          <w:color w:val="000000"/>
          <w:kern w:val="0"/>
        </w:rPr>
        <w:t>Variations in any of these factors listed above could result in changes to our variable interest rates. This list may change over time due to reasons both within and outside of our control. If this happens, we will tell you about the change as soon as possible and publish an updated variable rate policy statement on our website.</w:t>
      </w:r>
    </w:p>
    <w:p w14:paraId="1F66DCB3" w14:textId="77777777" w:rsidR="00A84657" w:rsidRPr="00DD797A" w:rsidRDefault="00A84657" w:rsidP="00DD797A">
      <w:pPr>
        <w:autoSpaceDE w:val="0"/>
        <w:autoSpaceDN w:val="0"/>
        <w:adjustRightInd w:val="0"/>
        <w:spacing w:after="40" w:line="201" w:lineRule="atLeast"/>
        <w:rPr>
          <w:rFonts w:ascii="AIB Case SemiLight" w:hAnsi="AIB Case SemiLight" w:cs="AIB Case SemiLight"/>
          <w:color w:val="000000"/>
          <w:kern w:val="0"/>
        </w:rPr>
      </w:pPr>
    </w:p>
    <w:p w14:paraId="5F89C5DF" w14:textId="77777777" w:rsidR="00DD797A" w:rsidRPr="00DD797A" w:rsidRDefault="00DD797A" w:rsidP="00DD797A">
      <w:pPr>
        <w:autoSpaceDE w:val="0"/>
        <w:autoSpaceDN w:val="0"/>
        <w:adjustRightInd w:val="0"/>
        <w:spacing w:after="40" w:line="241" w:lineRule="atLeast"/>
        <w:rPr>
          <w:rFonts w:ascii="AIB Case Medium" w:hAnsi="AIB Case Medium" w:cs="AIB Case Medium"/>
          <w:b/>
          <w:bCs/>
          <w:color w:val="000000"/>
          <w:kern w:val="0"/>
        </w:rPr>
      </w:pPr>
      <w:r w:rsidRPr="00DD797A">
        <w:rPr>
          <w:rFonts w:ascii="AIB Case Medium" w:hAnsi="AIB Case Medium" w:cs="AIB Case Medium"/>
          <w:b/>
          <w:bCs/>
          <w:color w:val="000000"/>
          <w:kern w:val="0"/>
        </w:rPr>
        <w:t>How do we make decisions when setting variable interest rates?</w:t>
      </w:r>
    </w:p>
    <w:p w14:paraId="1CD9D3C6" w14:textId="45BC969A" w:rsidR="00064DCF" w:rsidRDefault="00DD797A" w:rsidP="00DD797A">
      <w:pPr>
        <w:autoSpaceDE w:val="0"/>
        <w:autoSpaceDN w:val="0"/>
        <w:adjustRightInd w:val="0"/>
        <w:spacing w:after="40" w:line="201" w:lineRule="atLeast"/>
        <w:rPr>
          <w:rFonts w:ascii="AIB Case SemiLight" w:hAnsi="AIB Case SemiLight" w:cs="AIB Case SemiLight"/>
          <w:color w:val="000000"/>
          <w:kern w:val="0"/>
        </w:rPr>
      </w:pPr>
      <w:r w:rsidRPr="00DD797A">
        <w:rPr>
          <w:rFonts w:ascii="AIB Case SemiLight" w:hAnsi="AIB Case SemiLight" w:cs="AIB Case SemiLight"/>
          <w:color w:val="000000"/>
          <w:kern w:val="0"/>
        </w:rPr>
        <w:t xml:space="preserve">We monitor our mortgage variable interest rates on an ongoing basis. Our Assets &amp; Liabilities Committee assess variable rate change proposals and consider factors outlined above in the process. The Committee meets monthly or as required and will recommend any mortgage variable rate changes for final approval at </w:t>
      </w:r>
      <w:r w:rsidR="00021D9D">
        <w:rPr>
          <w:rFonts w:ascii="AIB Case SemiLight" w:hAnsi="AIB Case SemiLight" w:cs="AIB Case SemiLight"/>
          <w:color w:val="000000"/>
          <w:kern w:val="0"/>
        </w:rPr>
        <w:t>CSDCU</w:t>
      </w:r>
      <w:r w:rsidRPr="00DD797A">
        <w:rPr>
          <w:rFonts w:ascii="AIB Case SemiLight" w:hAnsi="AIB Case SemiLight" w:cs="AIB Case SemiLight"/>
          <w:color w:val="000000"/>
          <w:kern w:val="0"/>
        </w:rPr>
        <w:t xml:space="preserve"> Board level.</w:t>
      </w:r>
    </w:p>
    <w:p w14:paraId="4B93EC35" w14:textId="77777777" w:rsidR="00B13D21" w:rsidRDefault="00B13D21" w:rsidP="00DD797A">
      <w:pPr>
        <w:autoSpaceDE w:val="0"/>
        <w:autoSpaceDN w:val="0"/>
        <w:adjustRightInd w:val="0"/>
        <w:spacing w:after="40" w:line="201" w:lineRule="atLeast"/>
        <w:rPr>
          <w:rFonts w:ascii="AIB Case SemiLight" w:hAnsi="AIB Case SemiLight" w:cs="AIB Case SemiLight"/>
          <w:color w:val="000000"/>
          <w:kern w:val="0"/>
        </w:rPr>
      </w:pPr>
    </w:p>
    <w:p w14:paraId="2A457CB1" w14:textId="77777777" w:rsidR="00B13D21" w:rsidRDefault="00B13D21" w:rsidP="00DD797A">
      <w:pPr>
        <w:autoSpaceDE w:val="0"/>
        <w:autoSpaceDN w:val="0"/>
        <w:adjustRightInd w:val="0"/>
        <w:spacing w:after="40" w:line="201" w:lineRule="atLeast"/>
        <w:rPr>
          <w:rFonts w:ascii="AIB Case SemiLight" w:hAnsi="AIB Case SemiLight" w:cs="AIB Case SemiLight"/>
          <w:color w:val="000000"/>
          <w:kern w:val="0"/>
        </w:rPr>
      </w:pPr>
    </w:p>
    <w:p w14:paraId="4EAF75CC" w14:textId="77777777" w:rsidR="00B13D21" w:rsidRDefault="00B13D21" w:rsidP="00DD797A">
      <w:pPr>
        <w:autoSpaceDE w:val="0"/>
        <w:autoSpaceDN w:val="0"/>
        <w:adjustRightInd w:val="0"/>
        <w:spacing w:after="40" w:line="201" w:lineRule="atLeast"/>
        <w:rPr>
          <w:rFonts w:ascii="AIB Case SemiLight" w:hAnsi="AIB Case SemiLight" w:cs="AIB Case SemiLight"/>
          <w:color w:val="000000"/>
          <w:kern w:val="0"/>
        </w:rPr>
      </w:pPr>
    </w:p>
    <w:p w14:paraId="088F915B" w14:textId="3D5D65A0" w:rsidR="00B13D21" w:rsidRPr="00C72290" w:rsidRDefault="00C72290" w:rsidP="00DD797A">
      <w:pPr>
        <w:autoSpaceDE w:val="0"/>
        <w:autoSpaceDN w:val="0"/>
        <w:adjustRightInd w:val="0"/>
        <w:spacing w:after="40" w:line="201" w:lineRule="atLeast"/>
        <w:rPr>
          <w:rFonts w:ascii="AIB Case SemiLight" w:hAnsi="AIB Case SemiLight" w:cs="AIB Case SemiLight"/>
          <w:b/>
          <w:bCs/>
          <w:color w:val="000000"/>
          <w:kern w:val="0"/>
        </w:rPr>
      </w:pPr>
      <w:r w:rsidRPr="00C72290">
        <w:rPr>
          <w:rFonts w:ascii="AIB Case SemiLight" w:hAnsi="AIB Case SemiLight" w:cs="AIB Case SemiLight"/>
          <w:b/>
          <w:bCs/>
          <w:color w:val="000000"/>
          <w:kern w:val="0"/>
        </w:rPr>
        <w:t>Currently CSDCU has only 1 variable interest rate for mortgage loans</w:t>
      </w:r>
      <w:r>
        <w:rPr>
          <w:rFonts w:ascii="AIB Case SemiLight" w:hAnsi="AIB Case SemiLight" w:cs="AIB Case SemiLight"/>
          <w:b/>
          <w:bCs/>
          <w:color w:val="000000"/>
          <w:kern w:val="0"/>
        </w:rPr>
        <w:t>.</w:t>
      </w:r>
    </w:p>
    <w:p w14:paraId="452AAEB0" w14:textId="77777777" w:rsidR="00B13D21" w:rsidRDefault="00B13D21" w:rsidP="00DD797A">
      <w:pPr>
        <w:autoSpaceDE w:val="0"/>
        <w:autoSpaceDN w:val="0"/>
        <w:adjustRightInd w:val="0"/>
        <w:spacing w:after="40" w:line="201" w:lineRule="atLeast"/>
        <w:rPr>
          <w:rFonts w:ascii="AIB Case SemiLight" w:hAnsi="AIB Case SemiLight" w:cs="AIB Case SemiLight"/>
          <w:color w:val="000000"/>
          <w:kern w:val="0"/>
        </w:rPr>
      </w:pPr>
    </w:p>
    <w:p w14:paraId="6D911A32" w14:textId="77777777" w:rsidR="00B13D21" w:rsidRDefault="00B13D21" w:rsidP="00DD797A">
      <w:pPr>
        <w:autoSpaceDE w:val="0"/>
        <w:autoSpaceDN w:val="0"/>
        <w:adjustRightInd w:val="0"/>
        <w:spacing w:after="40" w:line="201" w:lineRule="atLeast"/>
        <w:rPr>
          <w:rFonts w:ascii="AIB Case SemiLight" w:hAnsi="AIB Case SemiLight" w:cs="AIB Case SemiLight"/>
          <w:color w:val="000000"/>
          <w:kern w:val="0"/>
        </w:rPr>
      </w:pPr>
    </w:p>
    <w:p w14:paraId="07800D6C" w14:textId="77777777" w:rsidR="00B13D21" w:rsidRDefault="00B13D21" w:rsidP="00DD797A">
      <w:pPr>
        <w:autoSpaceDE w:val="0"/>
        <w:autoSpaceDN w:val="0"/>
        <w:adjustRightInd w:val="0"/>
        <w:spacing w:after="40" w:line="201" w:lineRule="atLeast"/>
        <w:rPr>
          <w:rFonts w:ascii="AIB Case SemiLight" w:hAnsi="AIB Case SemiLight" w:cs="AIB Case SemiLight"/>
          <w:color w:val="000000"/>
          <w:kern w:val="0"/>
        </w:rPr>
      </w:pPr>
    </w:p>
    <w:p w14:paraId="5DEDEB71" w14:textId="77777777" w:rsidR="00B13D21" w:rsidRDefault="00B13D21" w:rsidP="00DD797A">
      <w:pPr>
        <w:autoSpaceDE w:val="0"/>
        <w:autoSpaceDN w:val="0"/>
        <w:adjustRightInd w:val="0"/>
        <w:spacing w:after="40" w:line="201" w:lineRule="atLeast"/>
        <w:rPr>
          <w:rFonts w:ascii="AIB Case SemiLight" w:hAnsi="AIB Case SemiLight" w:cs="AIB Case SemiLight"/>
          <w:color w:val="000000"/>
          <w:kern w:val="0"/>
        </w:rPr>
      </w:pPr>
    </w:p>
    <w:p w14:paraId="7613C310" w14:textId="77777777" w:rsidR="001145B3" w:rsidRDefault="001145B3" w:rsidP="00DD797A">
      <w:pPr>
        <w:autoSpaceDE w:val="0"/>
        <w:autoSpaceDN w:val="0"/>
        <w:adjustRightInd w:val="0"/>
        <w:spacing w:after="40" w:line="201" w:lineRule="atLeast"/>
        <w:rPr>
          <w:rFonts w:ascii="AIB Case Medium" w:hAnsi="AIB Case Medium" w:cs="AIB Case Medium"/>
          <w:b/>
          <w:bCs/>
          <w:kern w:val="0"/>
        </w:rPr>
      </w:pPr>
    </w:p>
    <w:p w14:paraId="5FD36D01" w14:textId="1756C016" w:rsidR="00064DCF" w:rsidRPr="00064DCF" w:rsidRDefault="00064DCF" w:rsidP="00DD797A">
      <w:pPr>
        <w:autoSpaceDE w:val="0"/>
        <w:autoSpaceDN w:val="0"/>
        <w:adjustRightInd w:val="0"/>
        <w:spacing w:after="40" w:line="201" w:lineRule="atLeast"/>
        <w:rPr>
          <w:rFonts w:ascii="AIB Case SemiLight" w:hAnsi="AIB Case SemiLight" w:cs="AIB Case SemiLight"/>
          <w:b/>
          <w:bCs/>
          <w:color w:val="000000"/>
          <w:kern w:val="0"/>
        </w:rPr>
      </w:pPr>
      <w:r w:rsidRPr="00DD797A">
        <w:rPr>
          <w:rFonts w:ascii="AIB Case Medium" w:hAnsi="AIB Case Medium" w:cs="AIB Case Medium"/>
          <w:b/>
          <w:bCs/>
          <w:kern w:val="0"/>
        </w:rPr>
        <w:lastRenderedPageBreak/>
        <w:t>Mortgage Variable Rate Options:</w:t>
      </w:r>
    </w:p>
    <w:p w14:paraId="75E89DD4" w14:textId="77777777" w:rsidR="00A02B46" w:rsidRPr="00DD797A" w:rsidRDefault="00A02B46" w:rsidP="00DD797A">
      <w:pPr>
        <w:autoSpaceDE w:val="0"/>
        <w:autoSpaceDN w:val="0"/>
        <w:adjustRightInd w:val="0"/>
        <w:spacing w:after="40" w:line="201" w:lineRule="atLeast"/>
        <w:rPr>
          <w:rFonts w:ascii="AIB Case SemiLight" w:hAnsi="AIB Case SemiLight" w:cs="AIB Case SemiLight"/>
          <w:color w:val="000000"/>
          <w:kern w:val="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1"/>
        <w:gridCol w:w="3481"/>
        <w:gridCol w:w="3483"/>
      </w:tblGrid>
      <w:tr w:rsidR="00DD797A" w:rsidRPr="00DD797A" w14:paraId="65A476FD" w14:textId="77777777" w:rsidTr="00A15772">
        <w:trPr>
          <w:trHeight w:val="146"/>
        </w:trPr>
        <w:tc>
          <w:tcPr>
            <w:tcW w:w="3481" w:type="dxa"/>
            <w:tcBorders>
              <w:top w:val="single" w:sz="4" w:space="0" w:color="auto"/>
              <w:left w:val="single" w:sz="4" w:space="0" w:color="auto"/>
              <w:bottom w:val="single" w:sz="4" w:space="0" w:color="auto"/>
              <w:right w:val="nil"/>
            </w:tcBorders>
          </w:tcPr>
          <w:p w14:paraId="23F11B0A" w14:textId="147C3813" w:rsidR="00DD797A" w:rsidRPr="00DD797A" w:rsidRDefault="00DD797A" w:rsidP="00DD797A">
            <w:pPr>
              <w:autoSpaceDE w:val="0"/>
              <w:autoSpaceDN w:val="0"/>
              <w:adjustRightInd w:val="0"/>
              <w:spacing w:line="241" w:lineRule="atLeast"/>
              <w:rPr>
                <w:rFonts w:ascii="AIB Case Medium" w:hAnsi="AIB Case Medium" w:cs="AIB Case Medium"/>
                <w:color w:val="000000"/>
                <w:kern w:val="0"/>
              </w:rPr>
            </w:pPr>
            <w:r w:rsidRPr="00DD797A">
              <w:rPr>
                <w:rFonts w:ascii="AIB Case Medium" w:hAnsi="AIB Case Medium" w:cs="AIB Case Medium"/>
                <w:color w:val="000000"/>
                <w:kern w:val="0"/>
              </w:rPr>
              <w:t>Mortgage Type</w:t>
            </w:r>
          </w:p>
        </w:tc>
        <w:tc>
          <w:tcPr>
            <w:tcW w:w="3481" w:type="dxa"/>
            <w:tcBorders>
              <w:top w:val="single" w:sz="4" w:space="0" w:color="auto"/>
              <w:left w:val="nil"/>
              <w:bottom w:val="single" w:sz="4" w:space="0" w:color="auto"/>
              <w:right w:val="nil"/>
            </w:tcBorders>
          </w:tcPr>
          <w:p w14:paraId="73A71284" w14:textId="77777777" w:rsidR="00DD797A" w:rsidRPr="00DD797A" w:rsidRDefault="00DD797A" w:rsidP="00DD797A">
            <w:pPr>
              <w:autoSpaceDE w:val="0"/>
              <w:autoSpaceDN w:val="0"/>
              <w:adjustRightInd w:val="0"/>
              <w:spacing w:line="241" w:lineRule="atLeast"/>
              <w:rPr>
                <w:rFonts w:ascii="AIB Case Medium" w:hAnsi="AIB Case Medium" w:cs="AIB Case Medium"/>
                <w:color w:val="000000"/>
                <w:kern w:val="0"/>
              </w:rPr>
            </w:pPr>
            <w:r w:rsidRPr="00DD797A">
              <w:rPr>
                <w:rFonts w:ascii="AIB Case Medium" w:hAnsi="AIB Case Medium" w:cs="AIB Case Medium"/>
                <w:color w:val="000000"/>
                <w:kern w:val="0"/>
              </w:rPr>
              <w:t>Description</w:t>
            </w:r>
          </w:p>
        </w:tc>
        <w:tc>
          <w:tcPr>
            <w:tcW w:w="3481" w:type="dxa"/>
            <w:tcBorders>
              <w:top w:val="single" w:sz="4" w:space="0" w:color="auto"/>
              <w:left w:val="nil"/>
              <w:bottom w:val="single" w:sz="4" w:space="0" w:color="auto"/>
              <w:right w:val="single" w:sz="4" w:space="0" w:color="auto"/>
            </w:tcBorders>
          </w:tcPr>
          <w:p w14:paraId="6B7E4185" w14:textId="77777777" w:rsidR="00DD797A" w:rsidRPr="00DD797A" w:rsidRDefault="00DD797A" w:rsidP="00DD797A">
            <w:pPr>
              <w:autoSpaceDE w:val="0"/>
              <w:autoSpaceDN w:val="0"/>
              <w:adjustRightInd w:val="0"/>
              <w:spacing w:line="241" w:lineRule="atLeast"/>
              <w:rPr>
                <w:rFonts w:ascii="AIB Case Medium" w:hAnsi="AIB Case Medium" w:cs="AIB Case Medium"/>
                <w:color w:val="000000"/>
                <w:kern w:val="0"/>
              </w:rPr>
            </w:pPr>
            <w:r w:rsidRPr="00DD797A">
              <w:rPr>
                <w:rFonts w:ascii="AIB Case Medium" w:hAnsi="AIB Case Medium" w:cs="AIB Case Medium"/>
                <w:color w:val="000000"/>
                <w:kern w:val="0"/>
              </w:rPr>
              <w:t>Variable Interest Rates Available</w:t>
            </w:r>
          </w:p>
        </w:tc>
      </w:tr>
      <w:tr w:rsidR="00DD797A" w:rsidRPr="00DD797A" w14:paraId="2D0321D4" w14:textId="77777777" w:rsidTr="00A15772">
        <w:trPr>
          <w:trHeight w:val="384"/>
        </w:trPr>
        <w:tc>
          <w:tcPr>
            <w:tcW w:w="3481" w:type="dxa"/>
            <w:tcBorders>
              <w:top w:val="single" w:sz="4" w:space="0" w:color="auto"/>
              <w:left w:val="single" w:sz="4" w:space="0" w:color="auto"/>
              <w:bottom w:val="single" w:sz="4" w:space="0" w:color="auto"/>
              <w:right w:val="single" w:sz="4" w:space="0" w:color="auto"/>
            </w:tcBorders>
          </w:tcPr>
          <w:p w14:paraId="7175A27F" w14:textId="77777777" w:rsidR="00DD797A" w:rsidRPr="00DD797A" w:rsidRDefault="00DD797A" w:rsidP="00DD797A">
            <w:pPr>
              <w:autoSpaceDE w:val="0"/>
              <w:autoSpaceDN w:val="0"/>
              <w:adjustRightInd w:val="0"/>
              <w:spacing w:line="241" w:lineRule="atLeast"/>
              <w:rPr>
                <w:rFonts w:ascii="AIB Case SemiLight" w:hAnsi="AIB Case SemiLight" w:cs="AIB Case SemiLight"/>
                <w:color w:val="000000"/>
                <w:kern w:val="0"/>
              </w:rPr>
            </w:pPr>
            <w:r w:rsidRPr="00DD797A">
              <w:rPr>
                <w:rFonts w:ascii="AIB Case SemiLight" w:hAnsi="AIB Case SemiLight" w:cs="AIB Case SemiLight"/>
                <w:color w:val="000000"/>
                <w:kern w:val="0"/>
              </w:rPr>
              <w:t>Owner Occupier</w:t>
            </w:r>
          </w:p>
        </w:tc>
        <w:tc>
          <w:tcPr>
            <w:tcW w:w="3481" w:type="dxa"/>
            <w:tcBorders>
              <w:top w:val="single" w:sz="4" w:space="0" w:color="auto"/>
              <w:left w:val="single" w:sz="4" w:space="0" w:color="auto"/>
              <w:bottom w:val="single" w:sz="4" w:space="0" w:color="auto"/>
              <w:right w:val="single" w:sz="4" w:space="0" w:color="auto"/>
            </w:tcBorders>
          </w:tcPr>
          <w:p w14:paraId="48E7D321" w14:textId="77777777" w:rsidR="00DD797A" w:rsidRPr="00DD797A" w:rsidRDefault="00DD797A" w:rsidP="00DD797A">
            <w:pPr>
              <w:autoSpaceDE w:val="0"/>
              <w:autoSpaceDN w:val="0"/>
              <w:adjustRightInd w:val="0"/>
              <w:spacing w:line="241" w:lineRule="atLeast"/>
              <w:rPr>
                <w:rFonts w:ascii="AIB Case SemiLight" w:hAnsi="AIB Case SemiLight" w:cs="AIB Case SemiLight"/>
                <w:color w:val="000000"/>
                <w:kern w:val="0"/>
              </w:rPr>
            </w:pPr>
            <w:r w:rsidRPr="00DD797A">
              <w:rPr>
                <w:rFonts w:ascii="AIB Case SemiLight" w:hAnsi="AIB Case SemiLight" w:cs="AIB Case SemiLight"/>
                <w:color w:val="000000"/>
                <w:kern w:val="0"/>
              </w:rPr>
              <w:t>An owner occupier mortgage is used for the purchase or refinancing of a Private Dwelling House (PDH)</w:t>
            </w:r>
          </w:p>
        </w:tc>
        <w:tc>
          <w:tcPr>
            <w:tcW w:w="3481" w:type="dxa"/>
            <w:tcBorders>
              <w:top w:val="single" w:sz="4" w:space="0" w:color="auto"/>
              <w:left w:val="single" w:sz="4" w:space="0" w:color="auto"/>
              <w:bottom w:val="single" w:sz="4" w:space="0" w:color="auto"/>
              <w:right w:val="single" w:sz="4" w:space="0" w:color="auto"/>
            </w:tcBorders>
          </w:tcPr>
          <w:p w14:paraId="66128660" w14:textId="27170CA8" w:rsidR="00DD797A" w:rsidRPr="00DD797A" w:rsidRDefault="00DD797A" w:rsidP="00064DCF">
            <w:pPr>
              <w:autoSpaceDE w:val="0"/>
              <w:autoSpaceDN w:val="0"/>
              <w:adjustRightInd w:val="0"/>
              <w:spacing w:after="0" w:line="240" w:lineRule="auto"/>
              <w:rPr>
                <w:rFonts w:ascii="AIB Case SemiLight" w:hAnsi="AIB Case SemiLight" w:cs="AIB Case SemiLight"/>
                <w:color w:val="000000"/>
                <w:kern w:val="0"/>
              </w:rPr>
            </w:pPr>
          </w:p>
          <w:p w14:paraId="6FBA0623" w14:textId="77777777" w:rsidR="00DD797A" w:rsidRPr="00DD797A" w:rsidRDefault="00DD797A" w:rsidP="00DD797A">
            <w:pPr>
              <w:numPr>
                <w:ilvl w:val="0"/>
                <w:numId w:val="2"/>
              </w:numPr>
              <w:autoSpaceDE w:val="0"/>
              <w:autoSpaceDN w:val="0"/>
              <w:adjustRightInd w:val="0"/>
              <w:spacing w:after="0" w:line="240" w:lineRule="auto"/>
              <w:rPr>
                <w:rFonts w:ascii="AIB Case SemiLight" w:hAnsi="AIB Case SemiLight" w:cs="AIB Case SemiLight"/>
                <w:color w:val="000000"/>
                <w:kern w:val="0"/>
              </w:rPr>
            </w:pPr>
            <w:r w:rsidRPr="00DD797A">
              <w:rPr>
                <w:rFonts w:ascii="AIB Case SemiLight" w:hAnsi="AIB Case SemiLight" w:cs="AIB Case SemiLight"/>
                <w:color w:val="000000"/>
                <w:kern w:val="0"/>
              </w:rPr>
              <w:t>PDH Standard Variable Rate</w:t>
            </w:r>
          </w:p>
          <w:p w14:paraId="4E8A5C48" w14:textId="77777777" w:rsidR="00DD797A" w:rsidRPr="00DD797A" w:rsidRDefault="00DD797A" w:rsidP="00DD797A">
            <w:pPr>
              <w:autoSpaceDE w:val="0"/>
              <w:autoSpaceDN w:val="0"/>
              <w:adjustRightInd w:val="0"/>
              <w:spacing w:after="0" w:line="240" w:lineRule="auto"/>
              <w:rPr>
                <w:rFonts w:ascii="AIB Case SemiLight" w:hAnsi="AIB Case SemiLight" w:cs="AIB Case SemiLight"/>
                <w:color w:val="000000"/>
                <w:kern w:val="0"/>
              </w:rPr>
            </w:pPr>
          </w:p>
        </w:tc>
      </w:tr>
      <w:tr w:rsidR="00DD797A" w:rsidRPr="00DD797A" w14:paraId="249BA5B4" w14:textId="77777777" w:rsidTr="00A15772">
        <w:trPr>
          <w:trHeight w:val="32"/>
        </w:trPr>
        <w:tc>
          <w:tcPr>
            <w:tcW w:w="10445" w:type="dxa"/>
            <w:gridSpan w:val="3"/>
            <w:tcBorders>
              <w:top w:val="single" w:sz="4" w:space="0" w:color="auto"/>
              <w:bottom w:val="none" w:sz="6" w:space="0" w:color="auto"/>
            </w:tcBorders>
          </w:tcPr>
          <w:p w14:paraId="6C359C87" w14:textId="77777777" w:rsidR="00DD797A" w:rsidRPr="00DD797A" w:rsidRDefault="00DD797A" w:rsidP="00DD797A">
            <w:pPr>
              <w:autoSpaceDE w:val="0"/>
              <w:autoSpaceDN w:val="0"/>
              <w:adjustRightInd w:val="0"/>
              <w:spacing w:after="0" w:line="240" w:lineRule="auto"/>
              <w:rPr>
                <w:rFonts w:ascii="AIB Case SemiLight" w:hAnsi="AIB Case SemiLight"/>
                <w:kern w:val="0"/>
              </w:rPr>
            </w:pPr>
          </w:p>
          <w:p w14:paraId="2C2F1093" w14:textId="77777777" w:rsidR="00DD797A" w:rsidRPr="00DD797A" w:rsidRDefault="00DD797A" w:rsidP="00FB0B0C">
            <w:pPr>
              <w:numPr>
                <w:ilvl w:val="0"/>
                <w:numId w:val="3"/>
              </w:numPr>
              <w:autoSpaceDE w:val="0"/>
              <w:autoSpaceDN w:val="0"/>
              <w:adjustRightInd w:val="0"/>
              <w:spacing w:after="0" w:line="240" w:lineRule="auto"/>
              <w:rPr>
                <w:rFonts w:ascii="AIB Case SemiLight" w:hAnsi="AIB Case SemiLight" w:cs="AIB Case SemiLight"/>
                <w:color w:val="000000"/>
                <w:kern w:val="0"/>
              </w:rPr>
            </w:pPr>
          </w:p>
        </w:tc>
      </w:tr>
    </w:tbl>
    <w:p w14:paraId="41CE5399" w14:textId="77777777" w:rsidR="00F12371" w:rsidRPr="00F12371" w:rsidRDefault="00F12371" w:rsidP="00F12371">
      <w:pPr>
        <w:pStyle w:val="Pa4"/>
        <w:spacing w:after="40"/>
        <w:rPr>
          <w:rFonts w:cs="AIB Case Medium"/>
          <w:b/>
          <w:bCs/>
          <w:color w:val="000000"/>
        </w:rPr>
      </w:pPr>
      <w:r w:rsidRPr="00F12371">
        <w:rPr>
          <w:rFonts w:cs="AIB Case Medium"/>
          <w:b/>
          <w:bCs/>
          <w:color w:val="000000"/>
        </w:rPr>
        <w:t>Could you get a different type of interest rate or a lower rate?</w:t>
      </w:r>
    </w:p>
    <w:p w14:paraId="2369DD0A" w14:textId="4CA177A8" w:rsidR="00F12371" w:rsidRDefault="00F12371" w:rsidP="00F12371">
      <w:pPr>
        <w:pStyle w:val="Pa5"/>
        <w:spacing w:after="40"/>
        <w:rPr>
          <w:rFonts w:ascii="AIB Case SemiLight" w:hAnsi="AIB Case SemiLight" w:cs="AIB Case SemiLight"/>
          <w:color w:val="000000"/>
        </w:rPr>
      </w:pPr>
      <w:r w:rsidRPr="00F12371">
        <w:rPr>
          <w:rFonts w:ascii="AIB Case SemiLight" w:hAnsi="AIB Case SemiLight" w:cs="AIB Case SemiLight"/>
          <w:color w:val="000000"/>
        </w:rPr>
        <w:t xml:space="preserve">A mortgage is a substantial financial commitment, and you should ensure that you are not paying more for it than you need to. Therefore, it is important to regularly review your mortgage and any interest rate options that may be available to you. </w:t>
      </w:r>
    </w:p>
    <w:p w14:paraId="474CE51F" w14:textId="77777777" w:rsidR="00277E1C" w:rsidRPr="00277E1C" w:rsidRDefault="00277E1C" w:rsidP="00277E1C">
      <w:pPr>
        <w:pStyle w:val="Default"/>
      </w:pPr>
    </w:p>
    <w:p w14:paraId="2F5194E9" w14:textId="77777777" w:rsidR="00F12371" w:rsidRDefault="00F12371" w:rsidP="00F12371">
      <w:pPr>
        <w:pStyle w:val="Pa5"/>
        <w:spacing w:after="40"/>
        <w:rPr>
          <w:rFonts w:ascii="AIB Case SemiLight" w:hAnsi="AIB Case SemiLight" w:cs="AIB Case SemiLight"/>
          <w:color w:val="000000"/>
        </w:rPr>
      </w:pPr>
      <w:r w:rsidRPr="00F12371">
        <w:rPr>
          <w:rFonts w:ascii="AIB Case SemiLight" w:hAnsi="AIB Case SemiLight" w:cs="AIB Case SemiLight"/>
          <w:color w:val="000000"/>
        </w:rPr>
        <w:t>In circumstances where any changes are made to this statement, we will tell you about the change as soon as possible and publish an updated version on our website.</w:t>
      </w:r>
    </w:p>
    <w:p w14:paraId="242F8D33" w14:textId="77777777" w:rsidR="00277E1C" w:rsidRPr="00277E1C" w:rsidRDefault="00277E1C" w:rsidP="00277E1C">
      <w:pPr>
        <w:pStyle w:val="Default"/>
      </w:pPr>
    </w:p>
    <w:p w14:paraId="67CA8509" w14:textId="5F82D540" w:rsidR="00F12371" w:rsidRDefault="00F12371" w:rsidP="00F12371">
      <w:pPr>
        <w:pStyle w:val="Default"/>
        <w:spacing w:before="40" w:after="40" w:line="201" w:lineRule="atLeast"/>
        <w:rPr>
          <w:rFonts w:ascii="AIB Case SemiLight" w:hAnsi="AIB Case SemiLight" w:cs="AIB Case SemiLight"/>
        </w:rPr>
      </w:pPr>
      <w:r w:rsidRPr="00F12371">
        <w:rPr>
          <w:rFonts w:ascii="AIB Case SemiLight" w:hAnsi="AIB Case SemiLight" w:cs="AIB Case SemiLight"/>
        </w:rPr>
        <w:t>Further information on our mortgage loans and interest rate options can be found on our website www.</w:t>
      </w:r>
      <w:r w:rsidR="00277E1C">
        <w:rPr>
          <w:rFonts w:ascii="AIB Case SemiLight" w:hAnsi="AIB Case SemiLight" w:cs="AIB Case SemiLight"/>
        </w:rPr>
        <w:t>csdcu</w:t>
      </w:r>
      <w:r w:rsidR="00E64F05">
        <w:rPr>
          <w:rFonts w:ascii="AIB Case SemiLight" w:hAnsi="AIB Case SemiLight" w:cs="AIB Case SemiLight"/>
        </w:rPr>
        <w:t>.ie</w:t>
      </w:r>
      <w:r w:rsidRPr="00F12371">
        <w:rPr>
          <w:rFonts w:ascii="AIB Case SemiLight" w:hAnsi="AIB Case SemiLight" w:cs="AIB Case SemiLight"/>
        </w:rPr>
        <w:t>. If you would like to discuss any of these options with us, or if you have any questions about your mortgage, please phone us on 0</w:t>
      </w:r>
      <w:r w:rsidR="007C45DB">
        <w:rPr>
          <w:rFonts w:ascii="AIB Case SemiLight" w:hAnsi="AIB Case SemiLight" w:cs="AIB Case SemiLight"/>
        </w:rPr>
        <w:t xml:space="preserve">61 </w:t>
      </w:r>
      <w:r w:rsidR="00A00B1E">
        <w:rPr>
          <w:rFonts w:ascii="AIB Case SemiLight" w:hAnsi="AIB Case SemiLight" w:cs="AIB Case SemiLight"/>
        </w:rPr>
        <w:t>392237</w:t>
      </w:r>
      <w:r w:rsidRPr="00F12371">
        <w:rPr>
          <w:rFonts w:ascii="AIB Case SemiLight" w:hAnsi="AIB Case SemiLight" w:cs="AIB Case SemiLight"/>
        </w:rPr>
        <w:t xml:space="preserve">, or call into your local </w:t>
      </w:r>
      <w:r w:rsidR="00A00B1E">
        <w:rPr>
          <w:rFonts w:ascii="AIB Case SemiLight" w:hAnsi="AIB Case SemiLight" w:cs="AIB Case SemiLight"/>
        </w:rPr>
        <w:t>CSDCU office</w:t>
      </w:r>
      <w:r w:rsidRPr="00F12371">
        <w:rPr>
          <w:rFonts w:ascii="AIB Case SemiLight" w:hAnsi="AIB Case SemiLight" w:cs="AIB Case SemiLight"/>
        </w:rPr>
        <w:t>.</w:t>
      </w:r>
    </w:p>
    <w:p w14:paraId="49A6611D" w14:textId="77777777" w:rsidR="00A00B1E" w:rsidRPr="00F12371" w:rsidRDefault="00A00B1E" w:rsidP="00F12371">
      <w:pPr>
        <w:pStyle w:val="Default"/>
        <w:spacing w:before="40" w:after="40" w:line="201" w:lineRule="atLeast"/>
        <w:rPr>
          <w:rFonts w:ascii="AIB Case SemiLight" w:hAnsi="AIB Case SemiLight" w:cs="AIB Case SemiLight"/>
        </w:rPr>
      </w:pPr>
    </w:p>
    <w:p w14:paraId="5F5E94AB" w14:textId="77777777" w:rsidR="00F12371" w:rsidRPr="008605E4" w:rsidRDefault="00F12371" w:rsidP="00854F26">
      <w:pPr>
        <w:pStyle w:val="Pa4"/>
        <w:pBdr>
          <w:top w:val="single" w:sz="4" w:space="1" w:color="auto"/>
          <w:left w:val="single" w:sz="4" w:space="4" w:color="auto"/>
          <w:bottom w:val="single" w:sz="4" w:space="1" w:color="auto"/>
          <w:right w:val="single" w:sz="4" w:space="4" w:color="auto"/>
          <w:between w:val="single" w:sz="4" w:space="1" w:color="auto"/>
          <w:bar w:val="single" w:sz="4" w:color="auto"/>
        </w:pBdr>
        <w:spacing w:after="40"/>
        <w:rPr>
          <w:rFonts w:cs="AIB Case Medium"/>
          <w:b/>
          <w:bCs/>
          <w:color w:val="000000"/>
        </w:rPr>
      </w:pPr>
      <w:r w:rsidRPr="008605E4">
        <w:rPr>
          <w:rFonts w:cs="AIB Case Medium"/>
          <w:b/>
          <w:bCs/>
          <w:color w:val="000000"/>
        </w:rPr>
        <w:t>Warning: Your home is at risk if you do not keep up payments on a mortgage or any other loan secured on it.</w:t>
      </w:r>
    </w:p>
    <w:p w14:paraId="36CD8A07" w14:textId="77777777" w:rsidR="00C03DA0" w:rsidRPr="00C03DA0" w:rsidRDefault="00C03DA0" w:rsidP="00C03DA0">
      <w:pPr>
        <w:pStyle w:val="Default"/>
      </w:pPr>
    </w:p>
    <w:p w14:paraId="23079D28" w14:textId="621EE026" w:rsidR="00F12371" w:rsidRPr="008605E4" w:rsidRDefault="00F12371" w:rsidP="00854F26">
      <w:pPr>
        <w:pBdr>
          <w:top w:val="single" w:sz="4" w:space="1" w:color="auto"/>
          <w:left w:val="single" w:sz="4" w:space="4" w:color="auto"/>
          <w:bottom w:val="single" w:sz="4" w:space="1" w:color="auto"/>
          <w:right w:val="single" w:sz="4" w:space="4" w:color="auto"/>
        </w:pBdr>
        <w:rPr>
          <w:rFonts w:cs="AIB Case Medium"/>
          <w:b/>
          <w:bCs/>
          <w:color w:val="000000"/>
        </w:rPr>
      </w:pPr>
      <w:r w:rsidRPr="008605E4">
        <w:rPr>
          <w:rFonts w:cs="AIB Case Medium"/>
          <w:b/>
          <w:bCs/>
          <w:color w:val="000000"/>
        </w:rPr>
        <w:t>The payment rates on this housing loan may be adjusted by the lender from time to time</w:t>
      </w:r>
      <w:r w:rsidR="00C75656" w:rsidRPr="008605E4">
        <w:rPr>
          <w:rFonts w:cs="AIB Case Medium"/>
          <w:b/>
          <w:bCs/>
          <w:color w:val="000000"/>
        </w:rPr>
        <w:t>.</w:t>
      </w:r>
    </w:p>
    <w:p w14:paraId="2BAE163D" w14:textId="77777777" w:rsidR="00C75656" w:rsidRDefault="00C75656" w:rsidP="00F12371">
      <w:pPr>
        <w:rPr>
          <w:rFonts w:cs="AIB Case Medium"/>
          <w:color w:val="000000"/>
        </w:rPr>
      </w:pPr>
    </w:p>
    <w:p w14:paraId="6EB19FF1" w14:textId="77777777" w:rsidR="00C75656" w:rsidRDefault="00C75656" w:rsidP="00F12371">
      <w:pPr>
        <w:rPr>
          <w:rFonts w:cs="AIB Case Medium"/>
          <w:color w:val="000000"/>
        </w:rPr>
      </w:pPr>
    </w:p>
    <w:p w14:paraId="700621DD" w14:textId="77777777" w:rsidR="00C75656" w:rsidRDefault="00C75656" w:rsidP="00F12371">
      <w:pPr>
        <w:rPr>
          <w:rFonts w:cs="AIB Case Medium"/>
          <w:color w:val="000000"/>
        </w:rPr>
      </w:pPr>
    </w:p>
    <w:p w14:paraId="6D44FEF2" w14:textId="77777777" w:rsidR="00C75656" w:rsidRDefault="00C75656" w:rsidP="00F12371">
      <w:pPr>
        <w:rPr>
          <w:rFonts w:cs="AIB Case Medium"/>
          <w:color w:val="000000"/>
        </w:rPr>
      </w:pPr>
    </w:p>
    <w:p w14:paraId="067EACB8" w14:textId="77777777" w:rsidR="00C75656" w:rsidRDefault="00C75656" w:rsidP="00F12371">
      <w:pPr>
        <w:rPr>
          <w:rFonts w:cs="AIB Case Medium"/>
          <w:color w:val="000000"/>
        </w:rPr>
      </w:pPr>
    </w:p>
    <w:p w14:paraId="653C3936" w14:textId="77777777" w:rsidR="00C75656" w:rsidRPr="00D907F2" w:rsidRDefault="00C75656" w:rsidP="00F12371">
      <w:pPr>
        <w:rPr>
          <w:rFonts w:cs="AIB Case Medium"/>
          <w:color w:val="00B0F0"/>
        </w:rPr>
      </w:pPr>
    </w:p>
    <w:p w14:paraId="07760153" w14:textId="4242FF28" w:rsidR="00C75656" w:rsidRPr="00D907F2" w:rsidRDefault="00C75656" w:rsidP="00E404E8">
      <w:pPr>
        <w:pStyle w:val="NoSpacing"/>
        <w:rPr>
          <w:color w:val="00B0F0"/>
          <w:sz w:val="22"/>
          <w:szCs w:val="22"/>
        </w:rPr>
      </w:pPr>
      <w:r w:rsidRPr="00D907F2">
        <w:rPr>
          <w:color w:val="00B0F0"/>
          <w:sz w:val="22"/>
          <w:szCs w:val="22"/>
        </w:rPr>
        <w:t xml:space="preserve">CSDCU has its registered office at Church Street, Askeaton, Co. Limerick. </w:t>
      </w:r>
    </w:p>
    <w:p w14:paraId="5722C96B" w14:textId="5F445DA1" w:rsidR="00E404E8" w:rsidRPr="00D907F2" w:rsidRDefault="00E404E8" w:rsidP="00E404E8">
      <w:pPr>
        <w:pStyle w:val="NoSpacing"/>
        <w:rPr>
          <w:color w:val="00B0F0"/>
          <w:sz w:val="22"/>
          <w:szCs w:val="22"/>
        </w:rPr>
      </w:pPr>
      <w:r w:rsidRPr="00D907F2">
        <w:rPr>
          <w:color w:val="00B0F0"/>
          <w:sz w:val="22"/>
          <w:szCs w:val="22"/>
        </w:rPr>
        <w:t xml:space="preserve">CSDCU is regulated by the </w:t>
      </w:r>
      <w:r w:rsidR="00D907F2">
        <w:rPr>
          <w:color w:val="00B0F0"/>
          <w:sz w:val="22"/>
          <w:szCs w:val="22"/>
        </w:rPr>
        <w:t>C</w:t>
      </w:r>
      <w:r w:rsidRPr="00D907F2">
        <w:rPr>
          <w:color w:val="00B0F0"/>
          <w:sz w:val="22"/>
          <w:szCs w:val="22"/>
        </w:rPr>
        <w:t xml:space="preserve">entral Bank Of Ireland.  </w:t>
      </w:r>
    </w:p>
    <w:sectPr w:rsidR="00E404E8" w:rsidRPr="00D90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IB Case Medium">
    <w:altName w:val="Calibri"/>
    <w:panose1 w:val="00000000000000000000"/>
    <w:charset w:val="00"/>
    <w:family w:val="swiss"/>
    <w:notTrueType/>
    <w:pitch w:val="default"/>
    <w:sig w:usb0="00000003" w:usb1="00000000" w:usb2="00000000" w:usb3="00000000" w:csb0="00000001" w:csb1="00000000"/>
  </w:font>
  <w:font w:name="AIB Case Semi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31D7E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6AF94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2846A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55253862">
    <w:abstractNumId w:val="1"/>
  </w:num>
  <w:num w:numId="2" w16cid:durableId="912546496">
    <w:abstractNumId w:val="0"/>
  </w:num>
  <w:num w:numId="3" w16cid:durableId="1177041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BF"/>
    <w:rsid w:val="00021D9D"/>
    <w:rsid w:val="00042F1E"/>
    <w:rsid w:val="00050023"/>
    <w:rsid w:val="00064DCF"/>
    <w:rsid w:val="001145B3"/>
    <w:rsid w:val="001463C2"/>
    <w:rsid w:val="001A455F"/>
    <w:rsid w:val="001B1DFB"/>
    <w:rsid w:val="00277E1C"/>
    <w:rsid w:val="002E0CD8"/>
    <w:rsid w:val="00363A48"/>
    <w:rsid w:val="00384A3C"/>
    <w:rsid w:val="00460747"/>
    <w:rsid w:val="004D2534"/>
    <w:rsid w:val="006F1126"/>
    <w:rsid w:val="007821A4"/>
    <w:rsid w:val="007942C7"/>
    <w:rsid w:val="007C45DB"/>
    <w:rsid w:val="00854F26"/>
    <w:rsid w:val="008605E4"/>
    <w:rsid w:val="00910835"/>
    <w:rsid w:val="00A00B1E"/>
    <w:rsid w:val="00A02B46"/>
    <w:rsid w:val="00A15772"/>
    <w:rsid w:val="00A84657"/>
    <w:rsid w:val="00B13D21"/>
    <w:rsid w:val="00C03DA0"/>
    <w:rsid w:val="00C35F6F"/>
    <w:rsid w:val="00C5109F"/>
    <w:rsid w:val="00C72290"/>
    <w:rsid w:val="00C75123"/>
    <w:rsid w:val="00C75656"/>
    <w:rsid w:val="00CB4FA7"/>
    <w:rsid w:val="00D26A31"/>
    <w:rsid w:val="00D56F7D"/>
    <w:rsid w:val="00D907F2"/>
    <w:rsid w:val="00DB7F77"/>
    <w:rsid w:val="00DD797A"/>
    <w:rsid w:val="00DF0472"/>
    <w:rsid w:val="00E404E8"/>
    <w:rsid w:val="00E64F05"/>
    <w:rsid w:val="00E873E3"/>
    <w:rsid w:val="00F12371"/>
    <w:rsid w:val="00FA6C63"/>
    <w:rsid w:val="00FB0B0C"/>
    <w:rsid w:val="00FD4934"/>
    <w:rsid w:val="00FE03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63C4"/>
  <w15:chartTrackingRefBased/>
  <w15:docId w15:val="{91AF6E35-4888-4587-A0FD-9D6F7FC0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3BF"/>
    <w:rPr>
      <w:rFonts w:eastAsiaTheme="majorEastAsia" w:cstheme="majorBidi"/>
      <w:color w:val="272727" w:themeColor="text1" w:themeTint="D8"/>
    </w:rPr>
  </w:style>
  <w:style w:type="paragraph" w:styleId="Title">
    <w:name w:val="Title"/>
    <w:basedOn w:val="Normal"/>
    <w:next w:val="Normal"/>
    <w:link w:val="TitleChar"/>
    <w:uiPriority w:val="10"/>
    <w:qFormat/>
    <w:rsid w:val="00FE0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3BF"/>
    <w:pPr>
      <w:spacing w:before="160"/>
      <w:jc w:val="center"/>
    </w:pPr>
    <w:rPr>
      <w:i/>
      <w:iCs/>
      <w:color w:val="404040" w:themeColor="text1" w:themeTint="BF"/>
    </w:rPr>
  </w:style>
  <w:style w:type="character" w:customStyle="1" w:styleId="QuoteChar">
    <w:name w:val="Quote Char"/>
    <w:basedOn w:val="DefaultParagraphFont"/>
    <w:link w:val="Quote"/>
    <w:uiPriority w:val="29"/>
    <w:rsid w:val="00FE03BF"/>
    <w:rPr>
      <w:i/>
      <w:iCs/>
      <w:color w:val="404040" w:themeColor="text1" w:themeTint="BF"/>
    </w:rPr>
  </w:style>
  <w:style w:type="paragraph" w:styleId="ListParagraph">
    <w:name w:val="List Paragraph"/>
    <w:basedOn w:val="Normal"/>
    <w:uiPriority w:val="34"/>
    <w:qFormat/>
    <w:rsid w:val="00FE03BF"/>
    <w:pPr>
      <w:ind w:left="720"/>
      <w:contextualSpacing/>
    </w:pPr>
  </w:style>
  <w:style w:type="character" w:styleId="IntenseEmphasis">
    <w:name w:val="Intense Emphasis"/>
    <w:basedOn w:val="DefaultParagraphFont"/>
    <w:uiPriority w:val="21"/>
    <w:qFormat/>
    <w:rsid w:val="00FE03BF"/>
    <w:rPr>
      <w:i/>
      <w:iCs/>
      <w:color w:val="0F4761" w:themeColor="accent1" w:themeShade="BF"/>
    </w:rPr>
  </w:style>
  <w:style w:type="paragraph" w:styleId="IntenseQuote">
    <w:name w:val="Intense Quote"/>
    <w:basedOn w:val="Normal"/>
    <w:next w:val="Normal"/>
    <w:link w:val="IntenseQuoteChar"/>
    <w:uiPriority w:val="30"/>
    <w:qFormat/>
    <w:rsid w:val="00FE0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3BF"/>
    <w:rPr>
      <w:i/>
      <w:iCs/>
      <w:color w:val="0F4761" w:themeColor="accent1" w:themeShade="BF"/>
    </w:rPr>
  </w:style>
  <w:style w:type="character" w:styleId="IntenseReference">
    <w:name w:val="Intense Reference"/>
    <w:basedOn w:val="DefaultParagraphFont"/>
    <w:uiPriority w:val="32"/>
    <w:qFormat/>
    <w:rsid w:val="00FE03BF"/>
    <w:rPr>
      <w:b/>
      <w:bCs/>
      <w:smallCaps/>
      <w:color w:val="0F4761" w:themeColor="accent1" w:themeShade="BF"/>
      <w:spacing w:val="5"/>
    </w:rPr>
  </w:style>
  <w:style w:type="paragraph" w:customStyle="1" w:styleId="Default">
    <w:name w:val="Default"/>
    <w:rsid w:val="00CB4FA7"/>
    <w:pPr>
      <w:autoSpaceDE w:val="0"/>
      <w:autoSpaceDN w:val="0"/>
      <w:adjustRightInd w:val="0"/>
      <w:spacing w:after="0" w:line="240" w:lineRule="auto"/>
    </w:pPr>
    <w:rPr>
      <w:rFonts w:ascii="AIB Case Medium" w:hAnsi="AIB Case Medium" w:cs="AIB Case Medium"/>
      <w:color w:val="000000"/>
      <w:kern w:val="0"/>
    </w:rPr>
  </w:style>
  <w:style w:type="paragraph" w:customStyle="1" w:styleId="Pa4">
    <w:name w:val="Pa4"/>
    <w:basedOn w:val="Default"/>
    <w:next w:val="Default"/>
    <w:uiPriority w:val="99"/>
    <w:rsid w:val="00F12371"/>
    <w:pPr>
      <w:spacing w:line="241" w:lineRule="atLeast"/>
    </w:pPr>
    <w:rPr>
      <w:rFonts w:cstheme="minorBidi"/>
      <w:color w:val="auto"/>
    </w:rPr>
  </w:style>
  <w:style w:type="paragraph" w:customStyle="1" w:styleId="Pa5">
    <w:name w:val="Pa5"/>
    <w:basedOn w:val="Default"/>
    <w:next w:val="Default"/>
    <w:uiPriority w:val="99"/>
    <w:rsid w:val="00F12371"/>
    <w:pPr>
      <w:spacing w:line="201" w:lineRule="atLeast"/>
    </w:pPr>
    <w:rPr>
      <w:rFonts w:cstheme="minorBidi"/>
      <w:color w:val="auto"/>
    </w:rPr>
  </w:style>
  <w:style w:type="paragraph" w:styleId="NoSpacing">
    <w:name w:val="No Spacing"/>
    <w:uiPriority w:val="1"/>
    <w:qFormat/>
    <w:rsid w:val="00E40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Lyons</dc:creator>
  <cp:keywords/>
  <dc:description/>
  <cp:lastModifiedBy>Michelle Lyons</cp:lastModifiedBy>
  <cp:revision>13</cp:revision>
  <dcterms:created xsi:type="dcterms:W3CDTF">2026-01-07T11:32:00Z</dcterms:created>
  <dcterms:modified xsi:type="dcterms:W3CDTF">2026-01-14T15:10:00Z</dcterms:modified>
</cp:coreProperties>
</file>